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4246"/>
        <w:gridCol w:w="338"/>
        <w:gridCol w:w="4776"/>
      </w:tblGrid>
      <w:tr w:rsidR="008135AB" w:rsidRPr="00912854" w14:paraId="5C0DD089" w14:textId="77777777">
        <w:trPr>
          <w:cantSplit/>
        </w:trPr>
        <w:tc>
          <w:tcPr>
            <w:tcW w:w="9576" w:type="dxa"/>
            <w:gridSpan w:val="3"/>
          </w:tcPr>
          <w:p w14:paraId="57391DBA" w14:textId="77777777" w:rsidR="008135AB" w:rsidRPr="00912854" w:rsidRDefault="007B3832">
            <w:pPr>
              <w:jc w:val="center"/>
            </w:pPr>
            <w:r w:rsidRPr="00912854">
              <w:t xml:space="preserve">IN THE </w:t>
            </w:r>
            <w:r w:rsidR="008135AB" w:rsidRPr="00912854">
              <w:t>UNITED STATES DISTRICT COURT</w:t>
            </w:r>
          </w:p>
          <w:p w14:paraId="45365A63" w14:textId="77777777" w:rsidR="008135AB" w:rsidRPr="00912854" w:rsidRDefault="008135AB">
            <w:pPr>
              <w:jc w:val="center"/>
            </w:pPr>
            <w:r w:rsidRPr="00912854">
              <w:t xml:space="preserve">FOR THE </w:t>
            </w:r>
            <w:r w:rsidR="00B807AD" w:rsidRPr="00912854">
              <w:t>EASTERN</w:t>
            </w:r>
            <w:r w:rsidRPr="00912854">
              <w:t xml:space="preserve"> DISTRICT OF NORTH CAROLINA</w:t>
            </w:r>
          </w:p>
          <w:p w14:paraId="51365E6E" w14:textId="77777777" w:rsidR="00912854" w:rsidRDefault="00912854" w:rsidP="00F63E08">
            <w:pPr>
              <w:jc w:val="center"/>
            </w:pPr>
          </w:p>
          <w:p w14:paraId="2DD19354" w14:textId="77777777" w:rsidR="008135AB" w:rsidRPr="00912854" w:rsidRDefault="00B807AD" w:rsidP="00F63E08">
            <w:pPr>
              <w:jc w:val="center"/>
            </w:pPr>
            <w:r w:rsidRPr="00912854">
              <w:t>No. ___________________</w:t>
            </w:r>
          </w:p>
        </w:tc>
      </w:tr>
      <w:tr w:rsidR="008135AB" w:rsidRPr="00912854" w14:paraId="1EFA2E6A" w14:textId="77777777" w:rsidTr="00F63E08">
        <w:trPr>
          <w:cantSplit/>
        </w:trPr>
        <w:tc>
          <w:tcPr>
            <w:tcW w:w="4326" w:type="dxa"/>
          </w:tcPr>
          <w:p w14:paraId="1905FB80" w14:textId="77777777" w:rsidR="008135AB" w:rsidRPr="00912854" w:rsidRDefault="008135AB">
            <w:pPr>
              <w:jc w:val="left"/>
              <w:rPr>
                <w:color w:val="000000"/>
              </w:rPr>
            </w:pPr>
          </w:p>
        </w:tc>
        <w:tc>
          <w:tcPr>
            <w:tcW w:w="342" w:type="dxa"/>
          </w:tcPr>
          <w:p w14:paraId="158E2E47" w14:textId="77777777" w:rsidR="008135AB" w:rsidRPr="00912854" w:rsidRDefault="008135AB">
            <w:pPr>
              <w:jc w:val="left"/>
              <w:rPr>
                <w:color w:val="000000"/>
              </w:rPr>
            </w:pPr>
          </w:p>
        </w:tc>
        <w:tc>
          <w:tcPr>
            <w:tcW w:w="4908" w:type="dxa"/>
            <w:vAlign w:val="center"/>
          </w:tcPr>
          <w:p w14:paraId="0A9205EE" w14:textId="77777777" w:rsidR="008135AB" w:rsidRPr="00912854" w:rsidRDefault="008135AB">
            <w:pPr>
              <w:jc w:val="center"/>
              <w:rPr>
                <w:color w:val="000000"/>
              </w:rPr>
            </w:pPr>
          </w:p>
        </w:tc>
      </w:tr>
      <w:tr w:rsidR="00F63E08" w:rsidRPr="00912854" w14:paraId="7E52A8A0" w14:textId="77777777" w:rsidTr="00F63E08">
        <w:trPr>
          <w:cantSplit/>
        </w:trPr>
        <w:tc>
          <w:tcPr>
            <w:tcW w:w="4326" w:type="dxa"/>
            <w:tcBorders>
              <w:right w:val="single" w:sz="4" w:space="0" w:color="auto"/>
            </w:tcBorders>
          </w:tcPr>
          <w:p w14:paraId="7ED35FC3" w14:textId="77777777" w:rsidR="00F63E08" w:rsidRPr="00912854" w:rsidRDefault="00751A95">
            <w:pPr>
              <w:jc w:val="left"/>
              <w:rPr>
                <w:color w:val="000000"/>
              </w:rPr>
            </w:pPr>
            <w:r w:rsidRPr="00912854">
              <w:rPr>
                <w:b/>
                <w:color w:val="000000"/>
              </w:rPr>
              <w:t>United States of America</w:t>
            </w:r>
            <w:r w:rsidR="00F63E08" w:rsidRPr="00912854">
              <w:rPr>
                <w:color w:val="000000"/>
              </w:rPr>
              <w:t>,</w:t>
            </w:r>
          </w:p>
          <w:p w14:paraId="0E0DB214" w14:textId="77777777" w:rsidR="00F63E08" w:rsidRPr="00912854" w:rsidRDefault="00F63E08" w:rsidP="00751A95">
            <w:pPr>
              <w:jc w:val="left"/>
              <w:rPr>
                <w:color w:val="000000"/>
              </w:rPr>
            </w:pPr>
          </w:p>
        </w:tc>
        <w:tc>
          <w:tcPr>
            <w:tcW w:w="342" w:type="dxa"/>
            <w:vMerge w:val="restart"/>
            <w:tcBorders>
              <w:left w:val="single" w:sz="4" w:space="0" w:color="auto"/>
            </w:tcBorders>
          </w:tcPr>
          <w:p w14:paraId="3E757505" w14:textId="77777777" w:rsidR="00F63E08" w:rsidRPr="00912854" w:rsidRDefault="00F63E08">
            <w:pPr>
              <w:rPr>
                <w:color w:val="000000"/>
              </w:rPr>
            </w:pPr>
          </w:p>
        </w:tc>
        <w:tc>
          <w:tcPr>
            <w:tcW w:w="4908" w:type="dxa"/>
            <w:vMerge w:val="restart"/>
            <w:vAlign w:val="center"/>
          </w:tcPr>
          <w:p w14:paraId="3B170CCB" w14:textId="77777777" w:rsidR="00F63E08" w:rsidRPr="00912854" w:rsidRDefault="00912854">
            <w:pPr>
              <w:jc w:val="center"/>
              <w:rPr>
                <w:b/>
                <w:bCs/>
                <w:color w:val="000000"/>
              </w:rPr>
            </w:pPr>
            <w:r w:rsidRPr="00912854">
              <w:rPr>
                <w:b/>
                <w:bCs/>
                <w:color w:val="000000"/>
              </w:rPr>
              <w:t>Waiver of Hearing</w:t>
            </w:r>
          </w:p>
        </w:tc>
      </w:tr>
      <w:tr w:rsidR="00F63E08" w:rsidRPr="00912854" w14:paraId="7E06518A" w14:textId="77777777" w:rsidTr="00F63E08">
        <w:trPr>
          <w:cantSplit/>
        </w:trPr>
        <w:tc>
          <w:tcPr>
            <w:tcW w:w="4326" w:type="dxa"/>
            <w:tcBorders>
              <w:right w:val="single" w:sz="4" w:space="0" w:color="auto"/>
            </w:tcBorders>
          </w:tcPr>
          <w:p w14:paraId="441BFD02" w14:textId="77777777" w:rsidR="00F63E08" w:rsidRPr="00912854" w:rsidRDefault="00F63E08">
            <w:pPr>
              <w:jc w:val="left"/>
              <w:rPr>
                <w:color w:val="000000"/>
              </w:rPr>
            </w:pPr>
            <w:r w:rsidRPr="00912854">
              <w:rPr>
                <w:color w:val="000000"/>
              </w:rPr>
              <w:t>v.</w:t>
            </w:r>
          </w:p>
          <w:p w14:paraId="00C60B60" w14:textId="77777777" w:rsidR="00F63E08" w:rsidRPr="00912854" w:rsidRDefault="00F63E08">
            <w:pPr>
              <w:jc w:val="left"/>
              <w:rPr>
                <w:color w:val="000000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</w:tcBorders>
          </w:tcPr>
          <w:p w14:paraId="48AF0697" w14:textId="77777777" w:rsidR="00F63E08" w:rsidRPr="00912854" w:rsidRDefault="00F63E08">
            <w:pPr>
              <w:rPr>
                <w:color w:val="000000"/>
              </w:rPr>
            </w:pPr>
          </w:p>
        </w:tc>
        <w:tc>
          <w:tcPr>
            <w:tcW w:w="4908" w:type="dxa"/>
            <w:vMerge/>
          </w:tcPr>
          <w:p w14:paraId="7D9CA8D8" w14:textId="77777777" w:rsidR="00F63E08" w:rsidRPr="00912854" w:rsidRDefault="00F63E08">
            <w:pPr>
              <w:rPr>
                <w:color w:val="000000"/>
              </w:rPr>
            </w:pPr>
          </w:p>
        </w:tc>
      </w:tr>
      <w:tr w:rsidR="00F63E08" w:rsidRPr="00912854" w14:paraId="4F663DC3" w14:textId="77777777" w:rsidTr="00F63E08">
        <w:trPr>
          <w:cantSplit/>
        </w:trPr>
        <w:tc>
          <w:tcPr>
            <w:tcW w:w="4326" w:type="dxa"/>
            <w:tcBorders>
              <w:right w:val="single" w:sz="4" w:space="0" w:color="auto"/>
            </w:tcBorders>
          </w:tcPr>
          <w:p w14:paraId="53730AB3" w14:textId="77777777" w:rsidR="00F63E08" w:rsidRPr="00804BB4" w:rsidRDefault="00F63E08">
            <w:pPr>
              <w:jc w:val="left"/>
              <w:rPr>
                <w:b/>
                <w:color w:val="000000"/>
              </w:rPr>
            </w:pPr>
          </w:p>
          <w:p w14:paraId="7F6E60B2" w14:textId="77777777" w:rsidR="00F63E08" w:rsidRPr="00804BB4" w:rsidRDefault="00F63E08">
            <w:pPr>
              <w:jc w:val="left"/>
              <w:rPr>
                <w:b/>
                <w:color w:val="000000"/>
              </w:rPr>
            </w:pPr>
          </w:p>
          <w:p w14:paraId="48808D8A" w14:textId="77777777" w:rsidR="00F63E08" w:rsidRPr="00912854" w:rsidRDefault="00F63E08">
            <w:pPr>
              <w:jc w:val="left"/>
              <w:rPr>
                <w:color w:val="000000"/>
              </w:rPr>
            </w:pPr>
            <w:r w:rsidRPr="00912854">
              <w:rPr>
                <w:color w:val="000000"/>
              </w:rPr>
              <w:tab/>
            </w:r>
            <w:r w:rsidRPr="00912854">
              <w:rPr>
                <w:color w:val="000000"/>
              </w:rPr>
              <w:tab/>
            </w:r>
            <w:r w:rsidRPr="00912854">
              <w:rPr>
                <w:color w:val="000000"/>
              </w:rPr>
              <w:tab/>
              <w:t>Defendant.</w:t>
            </w:r>
          </w:p>
        </w:tc>
        <w:tc>
          <w:tcPr>
            <w:tcW w:w="342" w:type="dxa"/>
            <w:vMerge/>
            <w:tcBorders>
              <w:left w:val="single" w:sz="4" w:space="0" w:color="auto"/>
            </w:tcBorders>
          </w:tcPr>
          <w:p w14:paraId="06C2D129" w14:textId="77777777" w:rsidR="00F63E08" w:rsidRPr="00912854" w:rsidRDefault="00F63E08">
            <w:pPr>
              <w:rPr>
                <w:color w:val="000000"/>
              </w:rPr>
            </w:pPr>
          </w:p>
        </w:tc>
        <w:tc>
          <w:tcPr>
            <w:tcW w:w="4908" w:type="dxa"/>
            <w:vMerge/>
          </w:tcPr>
          <w:p w14:paraId="7ADEC631" w14:textId="77777777" w:rsidR="00F63E08" w:rsidRPr="00912854" w:rsidRDefault="00F63E08">
            <w:pPr>
              <w:rPr>
                <w:color w:val="000000"/>
              </w:rPr>
            </w:pPr>
          </w:p>
        </w:tc>
      </w:tr>
      <w:tr w:rsidR="00F63E08" w:rsidRPr="00912854" w14:paraId="1BCDA221" w14:textId="77777777" w:rsidTr="00F63E08">
        <w:tc>
          <w:tcPr>
            <w:tcW w:w="4326" w:type="dxa"/>
            <w:tcBorders>
              <w:bottom w:val="single" w:sz="4" w:space="0" w:color="auto"/>
              <w:right w:val="single" w:sz="4" w:space="0" w:color="auto"/>
            </w:tcBorders>
          </w:tcPr>
          <w:p w14:paraId="205C3457" w14:textId="77777777" w:rsidR="00F63E08" w:rsidRPr="00912854" w:rsidRDefault="00F63E08">
            <w:pPr>
              <w:rPr>
                <w:color w:val="000000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</w:tcBorders>
          </w:tcPr>
          <w:p w14:paraId="0C50A08F" w14:textId="77777777" w:rsidR="00F63E08" w:rsidRPr="00912854" w:rsidRDefault="00F63E08">
            <w:pPr>
              <w:rPr>
                <w:color w:val="000000"/>
              </w:rPr>
            </w:pPr>
          </w:p>
        </w:tc>
        <w:tc>
          <w:tcPr>
            <w:tcW w:w="4908" w:type="dxa"/>
          </w:tcPr>
          <w:p w14:paraId="0C2C5536" w14:textId="77777777" w:rsidR="00F63E08" w:rsidRPr="00912854" w:rsidRDefault="00F63E08">
            <w:pPr>
              <w:rPr>
                <w:color w:val="000000"/>
              </w:rPr>
            </w:pPr>
          </w:p>
        </w:tc>
      </w:tr>
    </w:tbl>
    <w:p w14:paraId="3AD19797" w14:textId="77777777" w:rsidR="008135AB" w:rsidRPr="00912854" w:rsidRDefault="008135AB"/>
    <w:p w14:paraId="15B16043" w14:textId="77777777" w:rsidR="008135AB" w:rsidRPr="00912854" w:rsidRDefault="00922127" w:rsidP="00922127">
      <w:r w:rsidRPr="00912854">
        <w:tab/>
      </w:r>
      <w:r w:rsidR="00912854" w:rsidRPr="00912854">
        <w:t>The Defendant</w:t>
      </w:r>
      <w:r w:rsidR="00912854">
        <w:t xml:space="preserve"> wishes</w:t>
      </w:r>
      <w:r w:rsidR="00912854" w:rsidRPr="00912854">
        <w:t xml:space="preserve"> to waive their right to the following hearings</w:t>
      </w:r>
      <w:r w:rsidR="00912854">
        <w:t>:</w:t>
      </w:r>
    </w:p>
    <w:p w14:paraId="50C6AD1A" w14:textId="77777777" w:rsidR="00912854" w:rsidRPr="00912854" w:rsidRDefault="00912854" w:rsidP="009221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9"/>
        <w:gridCol w:w="3111"/>
      </w:tblGrid>
      <w:tr w:rsidR="00912854" w:rsidRPr="00912854" w14:paraId="7EC8BC78" w14:textId="77777777" w:rsidTr="00912854">
        <w:tc>
          <w:tcPr>
            <w:tcW w:w="3192" w:type="dxa"/>
            <w:vAlign w:val="center"/>
          </w:tcPr>
          <w:p w14:paraId="70EB9236" w14:textId="77777777" w:rsidR="00912854" w:rsidRPr="00912854" w:rsidRDefault="00DD3AAF" w:rsidP="00912854">
            <w:pPr>
              <w:jc w:val="center"/>
            </w:pPr>
            <w:sdt>
              <w:sdtPr>
                <w:id w:val="13647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54" w:rsidRPr="009128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2854" w:rsidRPr="00912854">
              <w:tab/>
              <w:t>Detention Hearing</w:t>
            </w:r>
          </w:p>
        </w:tc>
        <w:tc>
          <w:tcPr>
            <w:tcW w:w="3192" w:type="dxa"/>
            <w:vAlign w:val="center"/>
          </w:tcPr>
          <w:p w14:paraId="185524AB" w14:textId="77777777" w:rsidR="00912854" w:rsidRPr="00912854" w:rsidRDefault="00DD3AAF" w:rsidP="00912854">
            <w:pPr>
              <w:jc w:val="center"/>
            </w:pPr>
            <w:sdt>
              <w:sdtPr>
                <w:id w:val="-31302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54" w:rsidRPr="009128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2854" w:rsidRPr="00912854">
              <w:tab/>
              <w:t>Preliminary Hearing</w:t>
            </w:r>
          </w:p>
        </w:tc>
        <w:tc>
          <w:tcPr>
            <w:tcW w:w="3192" w:type="dxa"/>
            <w:vAlign w:val="center"/>
          </w:tcPr>
          <w:p w14:paraId="156C8220" w14:textId="77777777" w:rsidR="00912854" w:rsidRPr="00912854" w:rsidRDefault="00DD3AAF" w:rsidP="00912854">
            <w:pPr>
              <w:jc w:val="center"/>
            </w:pPr>
            <w:sdt>
              <w:sdtPr>
                <w:id w:val="17502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854" w:rsidRPr="009128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2854" w:rsidRPr="00912854">
              <w:tab/>
              <w:t>Identity Hearing</w:t>
            </w:r>
          </w:p>
        </w:tc>
      </w:tr>
    </w:tbl>
    <w:p w14:paraId="75F3464B" w14:textId="77777777" w:rsidR="00912854" w:rsidRPr="00912854" w:rsidRDefault="00912854" w:rsidP="00922127"/>
    <w:p w14:paraId="10DCB172" w14:textId="77777777" w:rsidR="00912854" w:rsidRDefault="00912854" w:rsidP="00912854">
      <w:r w:rsidRPr="00912854">
        <w:rPr>
          <w:rFonts w:eastAsia="MS Gothic"/>
        </w:rPr>
        <w:tab/>
      </w:r>
      <w:r w:rsidR="00587261">
        <w:rPr>
          <w:rFonts w:eastAsia="MS Gothic"/>
        </w:rPr>
        <w:t>The Defendant has made this decision knowingly and voluntarily after speaking with counsel.  T</w:t>
      </w:r>
      <w:r>
        <w:rPr>
          <w:rFonts w:eastAsia="MS Gothic"/>
        </w:rPr>
        <w:t xml:space="preserve">he Defendant </w:t>
      </w:r>
      <w:r w:rsidR="00587261">
        <w:rPr>
          <w:rFonts w:eastAsia="MS Gothic"/>
        </w:rPr>
        <w:t>is aware of the n</w:t>
      </w:r>
      <w:r>
        <w:rPr>
          <w:rFonts w:eastAsia="MS Gothic"/>
        </w:rPr>
        <w:t>ature of the hearing</w:t>
      </w:r>
      <w:r w:rsidR="00587261">
        <w:rPr>
          <w:rFonts w:eastAsia="MS Gothic"/>
        </w:rPr>
        <w:t xml:space="preserve">, </w:t>
      </w:r>
      <w:r>
        <w:rPr>
          <w:rFonts w:eastAsia="MS Gothic"/>
        </w:rPr>
        <w:t xml:space="preserve">the evidence that </w:t>
      </w:r>
      <w:r w:rsidR="00587261">
        <w:rPr>
          <w:rFonts w:eastAsia="MS Gothic"/>
        </w:rPr>
        <w:t>was likely to be</w:t>
      </w:r>
      <w:r>
        <w:rPr>
          <w:rFonts w:eastAsia="MS Gothic"/>
        </w:rPr>
        <w:t xml:space="preserve"> presented at the hearing</w:t>
      </w:r>
      <w:r w:rsidR="00587261">
        <w:rPr>
          <w:rFonts w:eastAsia="MS Gothic"/>
        </w:rPr>
        <w:t>, and the consequences of waiving the hearing</w:t>
      </w:r>
      <w:r>
        <w:rPr>
          <w:rFonts w:eastAsia="MS Gothic"/>
        </w:rPr>
        <w:t xml:space="preserve">.  </w:t>
      </w:r>
    </w:p>
    <w:p w14:paraId="7D90222D" w14:textId="7EA522A4" w:rsidR="00912854" w:rsidRDefault="00912854" w:rsidP="00912854"/>
    <w:p w14:paraId="202EDFEC" w14:textId="0684AC92" w:rsidR="00804BB4" w:rsidRDefault="00DD3AAF" w:rsidP="00804BB4">
      <w:pPr>
        <w:ind w:left="720" w:hanging="720"/>
      </w:pPr>
      <w:sdt>
        <w:sdtPr>
          <w:id w:val="-20810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BB4">
            <w:rPr>
              <w:rFonts w:ascii="MS Gothic" w:eastAsia="MS Gothic" w:hAnsi="MS Gothic" w:hint="eastAsia"/>
            </w:rPr>
            <w:t>☐</w:t>
          </w:r>
        </w:sdtContent>
      </w:sdt>
      <w:r w:rsidR="00804BB4">
        <w:tab/>
        <w:t>The Defendant is currently in custody due to another case.  The Defendant reserves the right to reopen his detention hearing upon his release from custody.</w:t>
      </w:r>
    </w:p>
    <w:p w14:paraId="2ADD00EE" w14:textId="77777777" w:rsidR="00804BB4" w:rsidRDefault="00804BB4" w:rsidP="00804BB4">
      <w:pPr>
        <w:ind w:left="720" w:hanging="720"/>
      </w:pPr>
    </w:p>
    <w:p w14:paraId="5F9520DF" w14:textId="658A69A6" w:rsidR="00804BB4" w:rsidRDefault="00DD3AAF" w:rsidP="00DD3AAF">
      <w:pPr>
        <w:ind w:firstLine="720"/>
      </w:pPr>
      <w:r>
        <w:t>I declare under penalty of perjury that the foregoing is true and correct.</w:t>
      </w:r>
    </w:p>
    <w:p w14:paraId="57305A8D" w14:textId="77777777" w:rsidR="00DD3AAF" w:rsidRDefault="00DD3AAF" w:rsidP="009128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2854" w:rsidRPr="008257C7" w14:paraId="45DBB623" w14:textId="77777777" w:rsidTr="007A4718">
        <w:tc>
          <w:tcPr>
            <w:tcW w:w="4675" w:type="dxa"/>
          </w:tcPr>
          <w:p w14:paraId="1D7C084B" w14:textId="77777777" w:rsidR="00912854" w:rsidRPr="008257C7" w:rsidRDefault="00912854" w:rsidP="007A4718">
            <w:r w:rsidRPr="008257C7">
              <w:t>Date: _______________________________</w:t>
            </w:r>
          </w:p>
        </w:tc>
        <w:tc>
          <w:tcPr>
            <w:tcW w:w="4675" w:type="dxa"/>
          </w:tcPr>
          <w:p w14:paraId="3A56E71C" w14:textId="77777777" w:rsidR="00912854" w:rsidRPr="008257C7" w:rsidRDefault="00912854" w:rsidP="007A4718">
            <w:r w:rsidRPr="008257C7">
              <w:t>_____________________________________</w:t>
            </w:r>
          </w:p>
          <w:p w14:paraId="32ECEA0D" w14:textId="77777777" w:rsidR="00912854" w:rsidRPr="008257C7" w:rsidRDefault="00912854" w:rsidP="007A4718">
            <w:pPr>
              <w:jc w:val="center"/>
            </w:pPr>
            <w:r w:rsidRPr="008257C7">
              <w:t xml:space="preserve">Signature of </w:t>
            </w:r>
            <w:r>
              <w:t>Defense Counsel</w:t>
            </w:r>
          </w:p>
        </w:tc>
      </w:tr>
      <w:tr w:rsidR="00912854" w:rsidRPr="008257C7" w14:paraId="39387C8F" w14:textId="77777777" w:rsidTr="007A4718">
        <w:tc>
          <w:tcPr>
            <w:tcW w:w="4675" w:type="dxa"/>
          </w:tcPr>
          <w:p w14:paraId="18E72626" w14:textId="77777777" w:rsidR="00912854" w:rsidRPr="008257C7" w:rsidRDefault="00912854" w:rsidP="00912854"/>
        </w:tc>
        <w:tc>
          <w:tcPr>
            <w:tcW w:w="4675" w:type="dxa"/>
          </w:tcPr>
          <w:p w14:paraId="76AF3394" w14:textId="77777777" w:rsidR="00912854" w:rsidRDefault="00912854" w:rsidP="00912854"/>
          <w:p w14:paraId="3A5AA250" w14:textId="77777777" w:rsidR="00912854" w:rsidRPr="008257C7" w:rsidRDefault="00912854" w:rsidP="00912854">
            <w:r w:rsidRPr="008257C7">
              <w:t>_____________________________________</w:t>
            </w:r>
          </w:p>
          <w:p w14:paraId="4211A01E" w14:textId="77777777" w:rsidR="00912854" w:rsidRPr="008257C7" w:rsidRDefault="00912854" w:rsidP="00912854">
            <w:pPr>
              <w:jc w:val="center"/>
            </w:pPr>
            <w:r>
              <w:t>Printed Name</w:t>
            </w:r>
          </w:p>
        </w:tc>
      </w:tr>
    </w:tbl>
    <w:p w14:paraId="470F55BC" w14:textId="3D101C6E" w:rsidR="00912854" w:rsidRDefault="00912854" w:rsidP="00912854"/>
    <w:p w14:paraId="2E1F8D7D" w14:textId="0B83D2F9" w:rsidR="00306047" w:rsidRDefault="00306047" w:rsidP="00912854"/>
    <w:p w14:paraId="5B4156C6" w14:textId="4C07D338" w:rsidR="00306047" w:rsidRDefault="00306047" w:rsidP="00912854">
      <w:r>
        <w:t xml:space="preserve">Accepted: </w:t>
      </w:r>
    </w:p>
    <w:p w14:paraId="633EEC00" w14:textId="77777777" w:rsidR="00306047" w:rsidRDefault="00306047" w:rsidP="00912854"/>
    <w:p w14:paraId="095DC90B" w14:textId="6DF66EE1" w:rsidR="00306047" w:rsidRDefault="00306047" w:rsidP="009128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6047" w:rsidRPr="008257C7" w14:paraId="49A25AEF" w14:textId="77777777" w:rsidTr="003E4DAC">
        <w:tc>
          <w:tcPr>
            <w:tcW w:w="4675" w:type="dxa"/>
          </w:tcPr>
          <w:p w14:paraId="7ACA564E" w14:textId="77777777" w:rsidR="00306047" w:rsidRPr="008257C7" w:rsidRDefault="00306047" w:rsidP="003E4DAC">
            <w:r w:rsidRPr="008257C7">
              <w:t>Date: _______________________________</w:t>
            </w:r>
          </w:p>
        </w:tc>
        <w:tc>
          <w:tcPr>
            <w:tcW w:w="4675" w:type="dxa"/>
          </w:tcPr>
          <w:p w14:paraId="3F5DF9B4" w14:textId="77777777" w:rsidR="00306047" w:rsidRPr="008257C7" w:rsidRDefault="00306047" w:rsidP="003E4DAC">
            <w:r w:rsidRPr="008257C7">
              <w:t>_____________________________________</w:t>
            </w:r>
          </w:p>
          <w:p w14:paraId="2E70E0B4" w14:textId="77777777" w:rsidR="00306047" w:rsidRDefault="00306047" w:rsidP="003E4DAC">
            <w:pPr>
              <w:jc w:val="center"/>
            </w:pPr>
            <w:r>
              <w:t>Robert T. Numbers, II</w:t>
            </w:r>
          </w:p>
          <w:p w14:paraId="1341428A" w14:textId="237EA189" w:rsidR="00306047" w:rsidRPr="008257C7" w:rsidRDefault="00306047" w:rsidP="003E4DAC">
            <w:pPr>
              <w:jc w:val="center"/>
            </w:pPr>
            <w:r>
              <w:t>United States Magistrate Judge</w:t>
            </w:r>
          </w:p>
        </w:tc>
      </w:tr>
    </w:tbl>
    <w:p w14:paraId="22089D4F" w14:textId="4CCE5276" w:rsidR="00306047" w:rsidRPr="00912854" w:rsidRDefault="00306047" w:rsidP="00912854"/>
    <w:sectPr w:rsidR="00306047" w:rsidRPr="00912854" w:rsidSect="00CA33C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AA94" w14:textId="77777777" w:rsidR="001C71A3" w:rsidRDefault="001C71A3">
      <w:r>
        <w:separator/>
      </w:r>
    </w:p>
  </w:endnote>
  <w:endnote w:type="continuationSeparator" w:id="0">
    <w:p w14:paraId="47A4F30D" w14:textId="77777777" w:rsidR="001C71A3" w:rsidRDefault="001C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09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15C8F" w14:textId="77777777" w:rsidR="00CA33CC" w:rsidRPr="00D03DC1" w:rsidRDefault="00CA33CC">
        <w:pPr>
          <w:jc w:val="center"/>
        </w:pPr>
        <w:r w:rsidRPr="00D03DC1">
          <w:fldChar w:fldCharType="begin"/>
        </w:r>
        <w:r w:rsidRPr="00D03DC1">
          <w:instrText xml:space="preserve"> PAGE   \* MERGEFORMAT </w:instrText>
        </w:r>
        <w:r w:rsidRPr="00D03DC1">
          <w:fldChar w:fldCharType="separate"/>
        </w:r>
        <w:r w:rsidR="008968EC">
          <w:rPr>
            <w:noProof/>
          </w:rPr>
          <w:t>2</w:t>
        </w:r>
        <w:r w:rsidRPr="00D03DC1">
          <w:rPr>
            <w:noProof/>
          </w:rPr>
          <w:fldChar w:fldCharType="end"/>
        </w:r>
      </w:p>
    </w:sdtContent>
  </w:sdt>
  <w:p w14:paraId="32E8C10D" w14:textId="77777777" w:rsidR="004A3DE5" w:rsidRPr="00D03DC1" w:rsidRDefault="004A3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FAB1" w14:textId="77777777" w:rsidR="001C71A3" w:rsidRDefault="001C71A3">
      <w:r>
        <w:separator/>
      </w:r>
    </w:p>
  </w:footnote>
  <w:footnote w:type="continuationSeparator" w:id="0">
    <w:p w14:paraId="102DD3D2" w14:textId="77777777" w:rsidR="001C71A3" w:rsidRDefault="001C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06A7"/>
    <w:multiLevelType w:val="hybridMultilevel"/>
    <w:tmpl w:val="EDC8A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71A8F"/>
    <w:multiLevelType w:val="hybridMultilevel"/>
    <w:tmpl w:val="34EEE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D4958"/>
    <w:multiLevelType w:val="hybridMultilevel"/>
    <w:tmpl w:val="EDDE1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63840"/>
    <w:multiLevelType w:val="multilevel"/>
    <w:tmpl w:val="7EAC1C7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2E20996"/>
    <w:multiLevelType w:val="hybridMultilevel"/>
    <w:tmpl w:val="F678E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D27A8"/>
    <w:multiLevelType w:val="hybridMultilevel"/>
    <w:tmpl w:val="2F1E1D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E4317DA"/>
    <w:multiLevelType w:val="hybridMultilevel"/>
    <w:tmpl w:val="8F367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Date" w:val="0"/>
    <w:docVar w:name="SWDocIDLayout" w:val="1"/>
    <w:docVar w:name="SWDocIDLocation" w:val="3"/>
  </w:docVars>
  <w:rsids>
    <w:rsidRoot w:val="00912854"/>
    <w:rsid w:val="00092DC2"/>
    <w:rsid w:val="00175333"/>
    <w:rsid w:val="0017574F"/>
    <w:rsid w:val="001831EB"/>
    <w:rsid w:val="001C12F8"/>
    <w:rsid w:val="001C71A3"/>
    <w:rsid w:val="00255FEE"/>
    <w:rsid w:val="00275F58"/>
    <w:rsid w:val="002D1748"/>
    <w:rsid w:val="00306047"/>
    <w:rsid w:val="003624FB"/>
    <w:rsid w:val="003C5420"/>
    <w:rsid w:val="0040736C"/>
    <w:rsid w:val="004108D9"/>
    <w:rsid w:val="004517CE"/>
    <w:rsid w:val="0046598B"/>
    <w:rsid w:val="004A3DE5"/>
    <w:rsid w:val="004F1BD0"/>
    <w:rsid w:val="00587261"/>
    <w:rsid w:val="005B2411"/>
    <w:rsid w:val="005D19F0"/>
    <w:rsid w:val="00603234"/>
    <w:rsid w:val="007163E3"/>
    <w:rsid w:val="0074448C"/>
    <w:rsid w:val="00751A95"/>
    <w:rsid w:val="007B3832"/>
    <w:rsid w:val="00804BB4"/>
    <w:rsid w:val="008135AB"/>
    <w:rsid w:val="00885BA6"/>
    <w:rsid w:val="008968EC"/>
    <w:rsid w:val="008C2859"/>
    <w:rsid w:val="008E020C"/>
    <w:rsid w:val="008E621C"/>
    <w:rsid w:val="00912854"/>
    <w:rsid w:val="00922127"/>
    <w:rsid w:val="00943D72"/>
    <w:rsid w:val="00975A18"/>
    <w:rsid w:val="00A84E34"/>
    <w:rsid w:val="00A90AF5"/>
    <w:rsid w:val="00B279D9"/>
    <w:rsid w:val="00B36C40"/>
    <w:rsid w:val="00B807AD"/>
    <w:rsid w:val="00B81718"/>
    <w:rsid w:val="00CA150B"/>
    <w:rsid w:val="00CA2FCD"/>
    <w:rsid w:val="00CA33CC"/>
    <w:rsid w:val="00CB52B2"/>
    <w:rsid w:val="00D03DC1"/>
    <w:rsid w:val="00DB5C1C"/>
    <w:rsid w:val="00DD3AAF"/>
    <w:rsid w:val="00E3460F"/>
    <w:rsid w:val="00EB4935"/>
    <w:rsid w:val="00EC2ACE"/>
    <w:rsid w:val="00F63E08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1A4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411"/>
    <w:pPr>
      <w:keepNext/>
      <w:keepLines/>
      <w:numPr>
        <w:numId w:val="15"/>
      </w:numPr>
      <w:spacing w:before="240" w:after="240" w:line="480" w:lineRule="auto"/>
      <w:jc w:val="left"/>
      <w:outlineLvl w:val="0"/>
    </w:pPr>
    <w:rPr>
      <w:rFonts w:eastAsiaTheme="majorEastAsi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411"/>
    <w:pPr>
      <w:keepNext/>
      <w:keepLines/>
      <w:numPr>
        <w:ilvl w:val="1"/>
        <w:numId w:val="15"/>
      </w:numPr>
      <w:spacing w:before="40" w:after="240" w:line="480" w:lineRule="auto"/>
      <w:jc w:val="left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411"/>
    <w:pPr>
      <w:keepNext/>
      <w:keepLines/>
      <w:numPr>
        <w:ilvl w:val="2"/>
        <w:numId w:val="15"/>
      </w:numPr>
      <w:spacing w:before="40" w:after="240" w:line="480" w:lineRule="auto"/>
      <w:jc w:val="left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411"/>
    <w:pPr>
      <w:keepNext/>
      <w:keepLines/>
      <w:numPr>
        <w:ilvl w:val="3"/>
        <w:numId w:val="15"/>
      </w:numPr>
      <w:spacing w:before="40" w:after="240" w:line="480" w:lineRule="auto"/>
      <w:jc w:val="left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2411"/>
    <w:pPr>
      <w:keepNext/>
      <w:keepLines/>
      <w:numPr>
        <w:ilvl w:val="4"/>
        <w:numId w:val="15"/>
      </w:numPr>
      <w:spacing w:before="40" w:after="240" w:line="480" w:lineRule="auto"/>
      <w:jc w:val="left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2411"/>
    <w:pPr>
      <w:keepNext/>
      <w:keepLines/>
      <w:numPr>
        <w:ilvl w:val="5"/>
        <w:numId w:val="15"/>
      </w:numPr>
      <w:spacing w:before="40" w:after="240" w:line="480" w:lineRule="auto"/>
      <w:jc w:val="left"/>
      <w:outlineLvl w:val="5"/>
    </w:pPr>
    <w:rPr>
      <w:rFonts w:eastAsiaTheme="majorEastAsia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B2411"/>
    <w:pPr>
      <w:keepNext/>
      <w:keepLines/>
      <w:numPr>
        <w:ilvl w:val="6"/>
        <w:numId w:val="15"/>
      </w:numPr>
      <w:spacing w:before="40" w:line="48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2411"/>
    <w:pPr>
      <w:keepNext/>
      <w:keepLines/>
      <w:numPr>
        <w:ilvl w:val="7"/>
        <w:numId w:val="15"/>
      </w:numPr>
      <w:spacing w:before="40" w:line="48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B2411"/>
    <w:pPr>
      <w:keepNext/>
      <w:keepLines/>
      <w:spacing w:before="40" w:line="48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link w:val="BlockquoteChar"/>
    <w:uiPriority w:val="10"/>
    <w:qFormat/>
    <w:rsid w:val="005B2411"/>
    <w:pPr>
      <w:spacing w:after="160"/>
      <w:ind w:left="720" w:right="720"/>
    </w:pPr>
    <w:rPr>
      <w:rFonts w:eastAsiaTheme="minorHAnsi"/>
    </w:rPr>
  </w:style>
  <w:style w:type="character" w:customStyle="1" w:styleId="BlockquoteChar">
    <w:name w:val="Blockquote Char"/>
    <w:basedOn w:val="DefaultParagraphFont"/>
    <w:link w:val="Blockquote"/>
    <w:uiPriority w:val="10"/>
    <w:rsid w:val="005B2411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411"/>
    <w:pPr>
      <w:tabs>
        <w:tab w:val="center" w:pos="4680"/>
        <w:tab w:val="right" w:pos="9360"/>
      </w:tabs>
      <w:jc w:val="left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2411"/>
    <w:rPr>
      <w:rFonts w:eastAsia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5B2411"/>
    <w:pPr>
      <w:tabs>
        <w:tab w:val="center" w:pos="4680"/>
        <w:tab w:val="right" w:pos="9360"/>
      </w:tabs>
      <w:jc w:val="left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2411"/>
    <w:rPr>
      <w:rFonts w:eastAsiaTheme="minorHAnsi" w:cstheme="minorBid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B2411"/>
    <w:rPr>
      <w:rFonts w:eastAsiaTheme="majorEastAsi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411"/>
    <w:rPr>
      <w:rFonts w:eastAsiaTheme="majorEastAsi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2411"/>
    <w:rPr>
      <w:rFonts w:eastAsiaTheme="majorEastAsia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411"/>
    <w:rPr>
      <w:rFonts w:eastAsiaTheme="majorEastAsia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B2411"/>
    <w:rPr>
      <w:rFonts w:eastAsiaTheme="majorEastAsia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B2411"/>
    <w:rPr>
      <w:rFonts w:eastAsiaTheme="majorEastAsia"/>
      <w:b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B24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B24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B2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91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E26B-D696-4927-BEEA-F97C69F3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RTN In Court Hearing Waiver.dotx</Template>
  <TotalTime>16</TotalTime>
  <Pages>1</Pages>
  <Words>146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Womble Carlyle Sandridge &amp; Rice, PLLC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Judge Robert Numbers II</dc:creator>
  <cp:lastModifiedBy>Robert Numbers</cp:lastModifiedBy>
  <cp:revision>4</cp:revision>
  <cp:lastPrinted>2006-07-16T18:38:00Z</cp:lastPrinted>
  <dcterms:created xsi:type="dcterms:W3CDTF">2020-09-18T11:38:00Z</dcterms:created>
  <dcterms:modified xsi:type="dcterms:W3CDTF">2022-01-10T15:15:00Z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DocID">
    <vt:lpwstr>3781073.1</vt:lpwstr>
  </property>
</Properties>
</file>